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2"/>
          <w:szCs w:val="32"/>
        </w:rPr>
      </w:pPr>
      <w:r w:rsidDel="00000000" w:rsidR="00000000" w:rsidRPr="00000000">
        <w:rPr>
          <w:rFonts w:ascii="Arial" w:cs="Arial" w:eastAsia="Arial" w:hAnsi="Arial"/>
          <w:b w:val="1"/>
          <w:color w:val="000000"/>
          <w:sz w:val="32"/>
          <w:szCs w:val="32"/>
          <w:rtl w:val="0"/>
        </w:rPr>
        <w:t xml:space="preserve">Call-Off Schedule 10 (Exit Management)</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"Exclusive Assets"</w:t>
            </w:r>
          </w:p>
        </w:tc>
        <w:tc>
          <w:tcPr/>
          <w:p w:rsidR="00000000" w:rsidDel="00000000" w:rsidP="00000000" w:rsidRDefault="00000000" w:rsidRPr="00000000" w14:paraId="00000006">
            <w:pPr>
              <w:numPr>
                <w:ilvl w:val="0"/>
                <w:numId w:val="2"/>
              </w:numPr>
              <w:pBdr>
                <w:top w:space="0" w:sz="0" w:val="nil"/>
                <w:left w:space="0" w:sz="0" w:val="nil"/>
                <w:bottom w:space="0" w:sz="0" w:val="nil"/>
                <w:right w:space="0" w:sz="0" w:val="nil"/>
                <w:between w:space="0" w:sz="0" w:val="nil"/>
              </w:pBdr>
              <w:tabs>
                <w:tab w:val="left"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Assets used exclusively by the Supplier [</w:t>
            </w:r>
            <w:r w:rsidDel="00000000" w:rsidR="00000000" w:rsidRPr="00000000">
              <w:rPr>
                <w:rFonts w:ascii="Arial" w:cs="Arial" w:eastAsia="Arial" w:hAnsi="Arial"/>
                <w:color w:val="000000"/>
                <w:sz w:val="24"/>
                <w:szCs w:val="24"/>
                <w:highlight w:val="yellow"/>
                <w:rtl w:val="0"/>
              </w:rPr>
              <w:t xml:space="preserve">or a Key Subcontractor</w:t>
            </w:r>
            <w:r w:rsidDel="00000000" w:rsidR="00000000" w:rsidRPr="00000000">
              <w:rPr>
                <w:rFonts w:ascii="Arial" w:cs="Arial" w:eastAsia="Arial" w:hAnsi="Arial"/>
                <w:color w:val="000000"/>
                <w:sz w:val="24"/>
                <w:szCs w:val="24"/>
                <w:rtl w:val="0"/>
              </w:rPr>
              <w:t xml:space="preserve">] in the provision of the Deliverables;</w:t>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Information"</w:t>
            </w:r>
          </w:p>
        </w:tc>
        <w:tc>
          <w:tcPr/>
          <w:p w:rsidR="00000000" w:rsidDel="00000000" w:rsidP="00000000" w:rsidRDefault="00000000" w:rsidRPr="00000000" w14:paraId="00000008">
            <w:pPr>
              <w:numPr>
                <w:ilvl w:val="0"/>
                <w:numId w:val="2"/>
              </w:numPr>
              <w:pBdr>
                <w:top w:space="0" w:sz="0" w:val="nil"/>
                <w:left w:space="0" w:sz="0" w:val="nil"/>
                <w:bottom w:space="0" w:sz="0" w:val="nil"/>
                <w:right w:space="0" w:sz="0" w:val="nil"/>
                <w:between w:space="0" w:sz="0" w:val="nil"/>
              </w:pBdr>
              <w:tabs>
                <w:tab w:val="left"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Manager"</w:t>
            </w:r>
          </w:p>
        </w:tc>
        <w:tc>
          <w:tcPr/>
          <w:p w:rsidR="00000000" w:rsidDel="00000000" w:rsidP="00000000" w:rsidRDefault="00000000" w:rsidRPr="00000000" w14:paraId="0000000A">
            <w:pPr>
              <w:numPr>
                <w:ilvl w:val="0"/>
                <w:numId w:val="2"/>
              </w:numPr>
              <w:pBdr>
                <w:top w:space="0" w:sz="0" w:val="nil"/>
                <w:left w:space="0" w:sz="0" w:val="nil"/>
                <w:bottom w:space="0" w:sz="0" w:val="nil"/>
                <w:right w:space="0" w:sz="0" w:val="nil"/>
                <w:between w:space="0" w:sz="0" w:val="nil"/>
              </w:pBdr>
              <w:tabs>
                <w:tab w:val="left"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tc>
        <w:tc>
          <w:tcPr/>
          <w:p w:rsidR="00000000" w:rsidDel="00000000" w:rsidP="00000000" w:rsidRDefault="00000000" w:rsidRPr="00000000" w14:paraId="0000000C">
            <w:pPr>
              <w:numPr>
                <w:ilvl w:val="0"/>
                <w:numId w:val="2"/>
              </w:numPr>
              <w:pBdr>
                <w:top w:space="0" w:sz="0" w:val="nil"/>
                <w:left w:space="0" w:sz="0" w:val="nil"/>
                <w:bottom w:space="0" w:sz="0" w:val="nil"/>
                <w:right w:space="0" w:sz="0" w:val="nil"/>
                <w:between w:space="0" w:sz="0" w:val="nil"/>
              </w:pBdr>
              <w:tabs>
                <w:tab w:val="left" w:pos="-9"/>
              </w:tabs>
              <w:spacing w:after="120" w:line="24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Book Value"</w:t>
            </w:r>
          </w:p>
        </w:tc>
        <w:tc>
          <w:tcPr/>
          <w:p w:rsidR="00000000" w:rsidDel="00000000" w:rsidP="00000000" w:rsidRDefault="00000000" w:rsidRPr="00000000" w14:paraId="0000000E">
            <w:pPr>
              <w:numPr>
                <w:ilvl w:val="0"/>
                <w:numId w:val="2"/>
              </w:numPr>
              <w:pBdr>
                <w:top w:space="0" w:sz="0" w:val="nil"/>
                <w:left w:space="0" w:sz="0" w:val="nil"/>
                <w:bottom w:space="0" w:sz="0" w:val="nil"/>
                <w:right w:space="0" w:sz="0" w:val="nil"/>
                <w:between w:space="0" w:sz="0" w:val="nil"/>
              </w:pBdr>
              <w:tabs>
                <w:tab w:val="left"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"Non-Exclusive Assets"</w:t>
            </w:r>
          </w:p>
        </w:tc>
        <w:tc>
          <w:tcPr/>
          <w:p w:rsidR="00000000" w:rsidDel="00000000" w:rsidP="00000000" w:rsidRDefault="00000000" w:rsidRPr="00000000" w14:paraId="00000010">
            <w:pPr>
              <w:numPr>
                <w:ilvl w:val="0"/>
                <w:numId w:val="2"/>
              </w:numPr>
              <w:pBdr>
                <w:top w:space="0" w:sz="0" w:val="nil"/>
                <w:left w:space="0" w:sz="0" w:val="nil"/>
                <w:bottom w:space="0" w:sz="0" w:val="nil"/>
                <w:right w:space="0" w:sz="0" w:val="nil"/>
                <w:between w:space="0" w:sz="0" w:val="nil"/>
              </w:pBdr>
              <w:tabs>
                <w:tab w:val="left"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Supplier Assets used by the Supplier [</w:t>
            </w:r>
            <w:r w:rsidDel="00000000" w:rsidR="00000000" w:rsidRPr="00000000">
              <w:rPr>
                <w:rFonts w:ascii="Arial" w:cs="Arial" w:eastAsia="Arial" w:hAnsi="Arial"/>
                <w:color w:val="000000"/>
                <w:sz w:val="24"/>
                <w:szCs w:val="24"/>
                <w:highlight w:val="yellow"/>
                <w:rtl w:val="0"/>
              </w:rPr>
              <w:t xml:space="preserve">or a Key Subcontractor</w:t>
            </w:r>
            <w:r w:rsidDel="00000000" w:rsidR="00000000" w:rsidRPr="00000000">
              <w:rPr>
                <w:rFonts w:ascii="Arial" w:cs="Arial" w:eastAsia="Arial" w:hAnsi="Arial"/>
                <w:color w:val="000000"/>
                <w:sz w:val="24"/>
                <w:szCs w:val="24"/>
                <w:rtl w:val="0"/>
              </w:rPr>
              <w:t xml:space="preserve">] in connection with the Deliverables but which are also used by the Supplier </w:t>
            </w:r>
            <w:r w:rsidDel="00000000" w:rsidR="00000000" w:rsidRPr="00000000">
              <w:rPr>
                <w:rFonts w:ascii="Arial" w:cs="Arial" w:eastAsia="Arial" w:hAnsi="Arial"/>
                <w:color w:val="000000"/>
                <w:sz w:val="24"/>
                <w:szCs w:val="24"/>
                <w:highlight w:val="yellow"/>
                <w:rtl w:val="0"/>
              </w:rPr>
              <w:t xml:space="preserve">[or Key Subcontractor]</w:t>
            </w:r>
            <w:r w:rsidDel="00000000" w:rsidR="00000000" w:rsidRPr="00000000">
              <w:rPr>
                <w:rFonts w:ascii="Arial" w:cs="Arial" w:eastAsia="Arial" w:hAnsi="Arial"/>
                <w:color w:val="000000"/>
                <w:sz w:val="24"/>
                <w:szCs w:val="24"/>
                <w:rtl w:val="0"/>
              </w:rPr>
              <w:t xml:space="preserve"> for other purposes;</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"Registers"</w:t>
            </w:r>
          </w:p>
        </w:tc>
        <w:tc>
          <w:tcPr/>
          <w:p w:rsidR="00000000" w:rsidDel="00000000" w:rsidP="00000000" w:rsidRDefault="00000000" w:rsidRPr="00000000" w14:paraId="00000012">
            <w:pPr>
              <w:numPr>
                <w:ilvl w:val="0"/>
                <w:numId w:val="2"/>
              </w:numPr>
              <w:pBdr>
                <w:top w:space="0" w:sz="0" w:val="nil"/>
                <w:left w:space="0" w:sz="0" w:val="nil"/>
                <w:bottom w:space="0" w:sz="0" w:val="nil"/>
                <w:right w:space="0" w:sz="0" w:val="nil"/>
                <w:between w:space="0" w:sz="0" w:val="nil"/>
              </w:pBdr>
              <w:tabs>
                <w:tab w:val="left"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Goods"</w:t>
            </w:r>
          </w:p>
        </w:tc>
        <w:tc>
          <w:tcPr/>
          <w:p w:rsidR="00000000" w:rsidDel="00000000" w:rsidP="00000000" w:rsidRDefault="00000000" w:rsidRPr="00000000" w14:paraId="00000014">
            <w:pPr>
              <w:numPr>
                <w:ilvl w:val="0"/>
                <w:numId w:val="2"/>
              </w:numPr>
              <w:pBdr>
                <w:top w:space="0" w:sz="0" w:val="nil"/>
                <w:left w:space="0" w:sz="0" w:val="nil"/>
                <w:bottom w:space="0" w:sz="0" w:val="nil"/>
                <w:right w:space="0" w:sz="0" w:val="nil"/>
                <w:between w:space="0" w:sz="0" w:val="nil"/>
              </w:pBdr>
              <w:tabs>
                <w:tab w:val="left"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Services"</w:t>
            </w:r>
          </w:p>
        </w:tc>
        <w:tc>
          <w:tcPr/>
          <w:p w:rsidR="00000000" w:rsidDel="00000000" w:rsidP="00000000" w:rsidRDefault="00000000" w:rsidRPr="00000000" w14:paraId="00000016">
            <w:pPr>
              <w:numPr>
                <w:ilvl w:val="0"/>
                <w:numId w:val="2"/>
              </w:numPr>
              <w:pBdr>
                <w:top w:space="0" w:sz="0" w:val="nil"/>
                <w:left w:space="0" w:sz="0" w:val="nil"/>
                <w:bottom w:space="0" w:sz="0" w:val="nil"/>
                <w:right w:space="0" w:sz="0" w:val="nil"/>
                <w:between w:space="0" w:sz="0" w:val="nil"/>
              </w:pBdr>
              <w:tabs>
                <w:tab w:val="left"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w:t>
            </w:r>
          </w:p>
        </w:tc>
        <w:tc>
          <w:tcPr/>
          <w:p w:rsidR="00000000" w:rsidDel="00000000" w:rsidP="00000000" w:rsidRDefault="00000000" w:rsidRPr="00000000" w14:paraId="00000018">
            <w:pPr>
              <w:numPr>
                <w:ilvl w:val="0"/>
                <w:numId w:val="2"/>
              </w:numPr>
              <w:pBdr>
                <w:top w:space="0" w:sz="0" w:val="nil"/>
                <w:left w:space="0" w:sz="0" w:val="nil"/>
                <w:bottom w:space="0" w:sz="0" w:val="nil"/>
                <w:right w:space="0" w:sz="0" w:val="nil"/>
                <w:between w:space="0" w:sz="0" w:val="nil"/>
              </w:pBdr>
              <w:tabs>
                <w:tab w:val="left"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Notice"</w:t>
            </w:r>
          </w:p>
        </w:tc>
        <w:tc>
          <w:tcPr/>
          <w:p w:rsidR="00000000" w:rsidDel="00000000" w:rsidP="00000000" w:rsidRDefault="00000000" w:rsidRPr="00000000" w14:paraId="0000001A">
            <w:pPr>
              <w:numPr>
                <w:ilvl w:val="0"/>
                <w:numId w:val="2"/>
              </w:numPr>
              <w:pBdr>
                <w:top w:space="0" w:sz="0" w:val="nil"/>
                <w:left w:space="0" w:sz="0" w:val="nil"/>
                <w:bottom w:space="0" w:sz="0" w:val="nil"/>
                <w:right w:space="0" w:sz="0" w:val="nil"/>
                <w:between w:space="0" w:sz="0" w:val="nil"/>
              </w:pBdr>
              <w:tabs>
                <w:tab w:val="left"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w:t>
            </w:r>
          </w:p>
        </w:tc>
        <w:tc>
          <w:tcPr/>
          <w:p w:rsidR="00000000" w:rsidDel="00000000" w:rsidP="00000000" w:rsidRDefault="00000000" w:rsidRPr="00000000" w14:paraId="0000001C">
            <w:pPr>
              <w:numPr>
                <w:ilvl w:val="0"/>
                <w:numId w:val="2"/>
              </w:numPr>
              <w:pBdr>
                <w:top w:space="0" w:sz="0" w:val="nil"/>
                <w:left w:space="0" w:sz="0" w:val="nil"/>
                <w:bottom w:space="0" w:sz="0" w:val="nil"/>
                <w:right w:space="0" w:sz="0" w:val="nil"/>
                <w:between w:space="0" w:sz="0" w:val="nil"/>
              </w:pBdr>
              <w:tabs>
                <w:tab w:val="left"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Assets"</w:t>
            </w:r>
          </w:p>
        </w:tc>
        <w:tc>
          <w:tcPr/>
          <w:p w:rsidR="00000000" w:rsidDel="00000000" w:rsidP="00000000" w:rsidRDefault="00000000" w:rsidRPr="00000000" w14:paraId="0000001E">
            <w:pPr>
              <w:numPr>
                <w:ilvl w:val="0"/>
                <w:numId w:val="2"/>
              </w:numPr>
              <w:pBdr>
                <w:top w:space="0" w:sz="0" w:val="nil"/>
                <w:left w:space="0" w:sz="0" w:val="nil"/>
                <w:bottom w:space="0" w:sz="0" w:val="nil"/>
                <w:right w:space="0" w:sz="0" w:val="nil"/>
                <w:between w:space="0" w:sz="0" w:val="nil"/>
              </w:pBdr>
              <w:tabs>
                <w:tab w:val="left"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Contracts"</w:t>
            </w:r>
          </w:p>
        </w:tc>
        <w:tc>
          <w:tcPr/>
          <w:p w:rsidR="00000000" w:rsidDel="00000000" w:rsidP="00000000" w:rsidRDefault="00000000" w:rsidRPr="00000000" w14:paraId="00000020">
            <w:pPr>
              <w:numPr>
                <w:ilvl w:val="0"/>
                <w:numId w:val="2"/>
              </w:numPr>
              <w:pBdr>
                <w:top w:space="0" w:sz="0" w:val="nil"/>
                <w:left w:space="0" w:sz="0" w:val="nil"/>
                <w:bottom w:space="0" w:sz="0" w:val="nil"/>
                <w:right w:space="0" w:sz="0" w:val="nil"/>
                <w:between w:space="0" w:sz="0" w:val="nil"/>
              </w:pBdr>
              <w:tabs>
                <w:tab w:val="left"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Assets"</w:t>
            </w:r>
          </w:p>
        </w:tc>
        <w:tc>
          <w:tcPr/>
          <w:p w:rsidR="00000000" w:rsidDel="00000000" w:rsidP="00000000" w:rsidRDefault="00000000" w:rsidRPr="00000000" w14:paraId="00000022">
            <w:pPr>
              <w:numPr>
                <w:ilvl w:val="0"/>
                <w:numId w:val="2"/>
              </w:numPr>
              <w:pBdr>
                <w:top w:space="0" w:sz="0" w:val="nil"/>
                <w:left w:space="0" w:sz="0" w:val="nil"/>
                <w:bottom w:space="0" w:sz="0" w:val="nil"/>
                <w:right w:space="0" w:sz="0" w:val="nil"/>
                <w:between w:space="0" w:sz="0" w:val="nil"/>
              </w:pBdr>
              <w:tabs>
                <w:tab w:val="left"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Contracts"</w:t>
            </w:r>
          </w:p>
        </w:tc>
        <w:tc>
          <w:tcPr/>
          <w:p w:rsidR="00000000" w:rsidDel="00000000" w:rsidP="00000000" w:rsidRDefault="00000000" w:rsidRPr="00000000" w14:paraId="00000024">
            <w:pPr>
              <w:numPr>
                <w:ilvl w:val="0"/>
                <w:numId w:val="2"/>
              </w:numPr>
              <w:pBdr>
                <w:top w:space="0" w:sz="0" w:val="nil"/>
                <w:left w:space="0" w:sz="0" w:val="nil"/>
                <w:bottom w:space="0" w:sz="0" w:val="nil"/>
                <w:right w:space="0" w:sz="0" w:val="nil"/>
                <w:between w:space="0" w:sz="0" w:val="nil"/>
              </w:pBdr>
              <w:tabs>
                <w:tab w:val="left"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8.2.3 of this Schedule.</w:t>
            </w:r>
          </w:p>
        </w:tc>
      </w:tr>
    </w:tbl>
    <w:p w:rsidR="00000000" w:rsidDel="00000000" w:rsidP="00000000" w:rsidRDefault="00000000" w:rsidRPr="00000000" w14:paraId="00000025">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During the Contract Period, the Supplier shall promptly:</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708"/>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708"/>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129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Registers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B">
      <w:pPr>
        <w:keepNext w:val="1"/>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Exclusive Assets listed in the Registers are clearly physically identified as such; and</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708"/>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Assisting re-competition for Deliverables </w:t>
      </w:r>
    </w:p>
    <w:p w:rsidR="00000000" w:rsidDel="00000000" w:rsidP="00000000" w:rsidRDefault="00000000" w:rsidRPr="00000000" w14:paraId="00000030">
      <w:pPr>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color w:val="000000"/>
          <w:sz w:val="24"/>
          <w:szCs w:val="24"/>
          <w:rtl w:val="0"/>
        </w:rPr>
        <w:t xml:space="preserve">Exit Information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Exit Plan</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The Exit Plan shall set out, as a minimum:</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8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detailed description of both the transfer and cessation processes, including a timetable; </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8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Deliverables will transfer to the Replacement Supplier and/or the Buyer;</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8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8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8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8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8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8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disposal of any redundant Deliverables and materials;</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8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8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or assistance reasonably required by the Buyer or a Replacement Supplier.</w:t>
      </w:r>
    </w:p>
    <w:p w:rsidR="00000000" w:rsidDel="00000000" w:rsidP="00000000" w:rsidRDefault="00000000" w:rsidRPr="00000000" w14:paraId="00000042">
      <w:pPr>
        <w:keepNext w:val="1"/>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43">
      <w:pPr>
        <w:keepNext w:val="1"/>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843"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 and update the Exit Plan (and risk management plan) no less frequently than: </w:t>
      </w:r>
    </w:p>
    <w:p w:rsidR="00000000" w:rsidDel="00000000" w:rsidP="00000000" w:rsidRDefault="00000000" w:rsidRPr="00000000" w14:paraId="00000044">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every </w:t>
      </w:r>
      <w:r w:rsidDel="00000000" w:rsidR="00000000" w:rsidRPr="00000000">
        <w:rPr>
          <w:rFonts w:ascii="Arial" w:cs="Arial" w:eastAsia="Arial" w:hAnsi="Arial"/>
          <w:color w:val="000000"/>
          <w:sz w:val="24"/>
          <w:szCs w:val="24"/>
          <w:highlight w:val="yellow"/>
          <w:rtl w:val="0"/>
        </w:rPr>
        <w:t xml:space="preserve">[six (6) months]</w:t>
      </w:r>
      <w:r w:rsidDel="00000000" w:rsidR="00000000" w:rsidRPr="00000000">
        <w:rPr>
          <w:rFonts w:ascii="Arial" w:cs="Arial" w:eastAsia="Arial" w:hAnsi="Arial"/>
          <w:color w:val="000000"/>
          <w:sz w:val="24"/>
          <w:szCs w:val="24"/>
          <w:rtl w:val="0"/>
        </w:rPr>
        <w:t xml:space="preserve"> throughout the Contract Period; and</w:t>
      </w:r>
    </w:p>
    <w:p w:rsidR="00000000" w:rsidDel="00000000" w:rsidP="00000000" w:rsidRDefault="00000000" w:rsidRPr="00000000" w14:paraId="00000045">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no later than [</w:t>
      </w:r>
      <w:r w:rsidDel="00000000" w:rsidR="00000000" w:rsidRPr="00000000">
        <w:rPr>
          <w:rFonts w:ascii="Arial" w:cs="Arial" w:eastAsia="Arial" w:hAnsi="Arial"/>
          <w:color w:val="000000"/>
          <w:sz w:val="24"/>
          <w:szCs w:val="24"/>
          <w:highlight w:val="yellow"/>
          <w:rtl w:val="0"/>
        </w:rPr>
        <w:t xml:space="preserve">twenty (20) Working Days</w:t>
      </w:r>
      <w:r w:rsidDel="00000000" w:rsidR="00000000" w:rsidRPr="00000000">
        <w:rPr>
          <w:rFonts w:ascii="Arial" w:cs="Arial" w:eastAsia="Arial" w:hAnsi="Arial"/>
          <w:color w:val="000000"/>
          <w:sz w:val="24"/>
          <w:szCs w:val="24"/>
          <w:rtl w:val="0"/>
        </w:rPr>
        <w:t xml:space="preserve">] after a request from the Buyer for an up-to-date copy of the Exit Plan; </w:t>
      </w:r>
    </w:p>
    <w:p w:rsidR="00000000" w:rsidDel="00000000" w:rsidP="00000000" w:rsidRDefault="00000000" w:rsidRPr="00000000" w14:paraId="00000046">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reasonably possible following a Termination Assistance Notice, and in any event no later than [</w:t>
      </w:r>
      <w:r w:rsidDel="00000000" w:rsidR="00000000" w:rsidRPr="00000000">
        <w:rPr>
          <w:rFonts w:ascii="Arial" w:cs="Arial" w:eastAsia="Arial" w:hAnsi="Arial"/>
          <w:color w:val="000000"/>
          <w:sz w:val="24"/>
          <w:szCs w:val="24"/>
          <w:highlight w:val="yellow"/>
          <w:rtl w:val="0"/>
        </w:rPr>
        <w:t xml:space="preserve">ten (10) Working Days]</w:t>
      </w:r>
      <w:r w:rsidDel="00000000" w:rsidR="00000000" w:rsidRPr="00000000">
        <w:rPr>
          <w:rFonts w:ascii="Arial" w:cs="Arial" w:eastAsia="Arial" w:hAnsi="Arial"/>
          <w:color w:val="000000"/>
          <w:sz w:val="24"/>
          <w:szCs w:val="24"/>
          <w:rtl w:val="0"/>
        </w:rPr>
        <w:t xml:space="preserve"> after the date of the Termination Assistance Notice;</w:t>
      </w:r>
    </w:p>
    <w:p w:rsidR="00000000" w:rsidDel="00000000" w:rsidP="00000000" w:rsidRDefault="00000000" w:rsidRPr="00000000" w14:paraId="00000047">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reasonably possible following, and in any event no later than [</w:t>
      </w:r>
      <w:r w:rsidDel="00000000" w:rsidR="00000000" w:rsidRPr="00000000">
        <w:rPr>
          <w:rFonts w:ascii="Arial" w:cs="Arial" w:eastAsia="Arial" w:hAnsi="Arial"/>
          <w:color w:val="000000"/>
          <w:sz w:val="24"/>
          <w:szCs w:val="24"/>
          <w:highlight w:val="yellow"/>
          <w:rtl w:val="0"/>
        </w:rPr>
        <w:t xml:space="preserve">twenty (20) Working Days</w:t>
      </w:r>
      <w:r w:rsidDel="00000000" w:rsidR="00000000" w:rsidRPr="00000000">
        <w:rPr>
          <w:rFonts w:ascii="Arial" w:cs="Arial" w:eastAsia="Arial" w:hAnsi="Arial"/>
          <w:color w:val="000000"/>
          <w:sz w:val="24"/>
          <w:szCs w:val="24"/>
          <w:rtl w:val="0"/>
        </w:rPr>
        <w:t xml:space="preserve">] following, any material change to the Deliverables (including all changes under the Variation Procedure); and  </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5"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jointly review and verify the Exit Plan if required by the Buyer and promptly correct any identified failures.</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Termination Assistance </w:t>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color w:val="000000"/>
          <w:sz w:val="24"/>
          <w:szCs w:val="24"/>
          <w:rtl w:val="0"/>
        </w:rPr>
        <w:t xml:space="preserve">"Termination Assistance Notice"</w:t>
      </w:r>
      <w:r w:rsidDel="00000000" w:rsidR="00000000" w:rsidRPr="00000000">
        <w:rPr>
          <w:rFonts w:ascii="Arial" w:cs="Arial" w:eastAsia="Arial" w:hAnsi="Arial"/>
          <w:color w:val="000000"/>
          <w:sz w:val="24"/>
          <w:szCs w:val="24"/>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nature of the Termination Assistance required; and</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bookmarkStart w:colFirst="0" w:colLast="0" w:name="_heading=h.35nkun2" w:id="14"/>
      <w:bookmarkEnd w:id="14"/>
      <w:r w:rsidDel="00000000" w:rsidR="00000000" w:rsidRPr="00000000">
        <w:rPr>
          <w:rFonts w:ascii="Arial" w:cs="Arial" w:eastAsia="Arial" w:hAnsi="Arial"/>
          <w:color w:val="000000"/>
          <w:sz w:val="24"/>
          <w:szCs w:val="24"/>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extension shall extend the Termination Assistance Period beyond the date twelve (12) Months after the End Date; and </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spacing w:after="120" w:before="120" w:line="240" w:lineRule="auto"/>
        <w:ind w:left="107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Throughout the Termination Assistance Period the Supplier shall:</w:t>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720"/>
        <w:rPr>
          <w:rFonts w:ascii="Arial" w:cs="Arial" w:eastAsia="Arial" w:hAnsi="Arial"/>
          <w:color w:val="000000"/>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720"/>
        <w:rPr>
          <w:rFonts w:ascii="Arial" w:cs="Arial" w:eastAsia="Arial" w:hAnsi="Arial"/>
          <w:color w:val="000000"/>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use all reasonable endeavours to reallocate resources to provide such assistance without additional costs to the Buyer;</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720"/>
        <w:rPr>
          <w:rFonts w:ascii="Arial" w:cs="Arial" w:eastAsia="Arial" w:hAnsi="Arial"/>
          <w:color w:val="000000"/>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720"/>
        <w:rPr>
          <w:rFonts w:ascii="Arial" w:cs="Arial" w:eastAsia="Arial" w:hAnsi="Arial"/>
          <w:color w:val="000000"/>
          <w:sz w:val="24"/>
          <w:szCs w:val="24"/>
        </w:rPr>
      </w:pPr>
      <w:bookmarkStart w:colFirst="0" w:colLast="0" w:name="_heading=h.3j2qqm3" w:id="19"/>
      <w:bookmarkEnd w:id="19"/>
      <w:r w:rsidDel="00000000" w:rsidR="00000000" w:rsidRPr="00000000">
        <w:rPr>
          <w:rFonts w:ascii="Arial" w:cs="Arial" w:eastAsia="Arial" w:hAnsi="Arial"/>
          <w:color w:val="000000"/>
          <w:sz w:val="24"/>
          <w:szCs w:val="24"/>
          <w:rtl w:val="0"/>
        </w:rPr>
        <w:t xml:space="preserve">at the Buyer's request and on reasonable notice, deliver up-to-date Registers to the Buyer;</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Obligations when the contract is terminated  </w:t>
      </w:r>
      <w:r w:rsidDel="00000000" w:rsidR="00000000" w:rsidRPr="00000000">
        <w:rPr>
          <w:rtl w:val="0"/>
        </w:rPr>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bookmarkStart w:colFirst="0" w:colLast="0" w:name="_heading=h.4i7ojhp" w:id="21"/>
      <w:bookmarkEnd w:id="21"/>
      <w:r w:rsidDel="00000000" w:rsidR="00000000" w:rsidRPr="00000000">
        <w:rPr>
          <w:rFonts w:ascii="Arial" w:cs="Arial" w:eastAsia="Arial" w:hAnsi="Arial"/>
          <w:color w:val="000000"/>
          <w:sz w:val="24"/>
          <w:szCs w:val="24"/>
          <w:rtl w:val="0"/>
        </w:rPr>
        <w:t xml:space="preserve">The Supplier shall comply with all of its obligations contained in the Exit Plan.</w:t>
      </w:r>
    </w:p>
    <w:p w:rsidR="00000000" w:rsidDel="00000000" w:rsidP="00000000" w:rsidRDefault="00000000" w:rsidRPr="00000000" w14:paraId="00000060">
      <w:pPr>
        <w:keepNext w:val="1"/>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bookmarkStart w:colFirst="0" w:colLast="0" w:name="_heading=h.2xcytpi" w:id="22"/>
      <w:bookmarkEnd w:id="22"/>
      <w:r w:rsidDel="00000000" w:rsidR="00000000" w:rsidRPr="00000000">
        <w:rPr>
          <w:rFonts w:ascii="Arial" w:cs="Arial" w:eastAsia="Arial" w:hAnsi="Arial"/>
          <w:color w:val="000000"/>
          <w:sz w:val="24"/>
          <w:szCs w:val="24"/>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843"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vacate any Buyer Premises;</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843"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843" w:hanging="720"/>
        <w:rPr>
          <w:rFonts w:ascii="Arial" w:cs="Arial" w:eastAsia="Arial" w:hAnsi="Arial"/>
          <w:color w:val="000000"/>
          <w:sz w:val="24"/>
          <w:szCs w:val="24"/>
        </w:rPr>
      </w:pPr>
      <w:bookmarkStart w:colFirst="0" w:colLast="0" w:name="_heading=h.1ci93xb" w:id="23"/>
      <w:bookmarkEnd w:id="23"/>
      <w:r w:rsidDel="00000000" w:rsidR="00000000" w:rsidRPr="00000000">
        <w:rPr>
          <w:rFonts w:ascii="Arial" w:cs="Arial" w:eastAsia="Arial" w:hAnsi="Arial"/>
          <w:color w:val="000000"/>
          <w:sz w:val="24"/>
          <w:szCs w:val="24"/>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information relating to the Deliverables as remains in the possession or control of the Supplier; and</w:t>
      </w:r>
    </w:p>
    <w:p w:rsidR="00000000" w:rsidDel="00000000" w:rsidP="00000000" w:rsidRDefault="00000000" w:rsidRPr="00000000" w14:paraId="00000065">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bookmarkStart w:colFirst="0" w:colLast="0" w:name="_heading=h.3whwml4" w:id="24"/>
      <w:bookmarkEnd w:id="24"/>
      <w:r w:rsidDel="00000000" w:rsidR="00000000" w:rsidRPr="00000000">
        <w:rPr>
          <w:rFonts w:ascii="Arial" w:cs="Arial" w:eastAsia="Arial" w:hAnsi="Arial"/>
          <w:color w:val="000000"/>
          <w:sz w:val="24"/>
          <w:szCs w:val="24"/>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bookmarkStart w:colFirst="0" w:colLast="0" w:name="_heading=h.2bn6wsx" w:id="25"/>
      <w:bookmarkEnd w:id="25"/>
      <w:r w:rsidDel="00000000" w:rsidR="00000000" w:rsidRPr="00000000">
        <w:rPr>
          <w:rFonts w:ascii="Arial" w:cs="Arial" w:eastAsia="Arial" w:hAnsi="Arial"/>
          <w:color w:val="000000"/>
          <w:sz w:val="24"/>
          <w:szCs w:val="24"/>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Assets, Sub-contracts and Software</w:t>
      </w:r>
    </w:p>
    <w:p w:rsidR="00000000" w:rsidDel="00000000" w:rsidP="00000000" w:rsidRDefault="00000000" w:rsidRPr="00000000" w14:paraId="00000068">
      <w:pPr>
        <w:keepNext w:val="1"/>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bookmarkStart w:colFirst="0" w:colLast="0" w:name="_heading=h.qsh70q" w:id="26"/>
      <w:bookmarkEnd w:id="26"/>
      <w:r w:rsidDel="00000000" w:rsidR="00000000" w:rsidRPr="00000000">
        <w:rPr>
          <w:rFonts w:ascii="Arial" w:cs="Arial" w:eastAsia="Arial" w:hAnsi="Arial"/>
          <w:color w:val="000000"/>
          <w:sz w:val="24"/>
          <w:szCs w:val="24"/>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843"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enter into or vary any Sub-contract or licence for any software in connection with the Deliverables; or</w:t>
      </w:r>
    </w:p>
    <w:p w:rsidR="00000000" w:rsidDel="00000000" w:rsidP="00000000" w:rsidRDefault="00000000" w:rsidRPr="00000000" w14:paraId="0000006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843"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bookmarkStart w:colFirst="0" w:colLast="0" w:name="_heading=h.3as4poj" w:id="27"/>
      <w:bookmarkEnd w:id="27"/>
      <w:r w:rsidDel="00000000" w:rsidR="00000000" w:rsidRPr="00000000">
        <w:rPr>
          <w:rFonts w:ascii="Arial" w:cs="Arial" w:eastAsia="Arial" w:hAnsi="Arial"/>
          <w:color w:val="000000"/>
          <w:sz w:val="24"/>
          <w:szCs w:val="24"/>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843" w:hanging="720"/>
        <w:rPr>
          <w:rFonts w:ascii="Arial" w:cs="Arial" w:eastAsia="Arial" w:hAnsi="Arial"/>
          <w:color w:val="000000"/>
          <w:sz w:val="24"/>
          <w:szCs w:val="24"/>
        </w:rPr>
      </w:pPr>
      <w:bookmarkStart w:colFirst="0" w:colLast="0" w:name="_heading=h.1pxezwc" w:id="28"/>
      <w:bookmarkEnd w:id="28"/>
      <w:r w:rsidDel="00000000" w:rsidR="00000000" w:rsidRPr="00000000">
        <w:rPr>
          <w:rFonts w:ascii="Arial" w:cs="Arial" w:eastAsia="Arial" w:hAnsi="Arial"/>
          <w:color w:val="000000"/>
          <w:sz w:val="24"/>
          <w:szCs w:val="24"/>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color w:val="000000"/>
          <w:sz w:val="24"/>
          <w:szCs w:val="24"/>
          <w:rtl w:val="0"/>
        </w:rPr>
        <w:t xml:space="preserve">Transferring Assets</w:t>
      </w:r>
      <w:r w:rsidDel="00000000" w:rsidR="00000000" w:rsidRPr="00000000">
        <w:rPr>
          <w:rFonts w:ascii="Arial" w:cs="Arial" w:eastAsia="Arial" w:hAnsi="Arial"/>
          <w:color w:val="000000"/>
          <w:sz w:val="24"/>
          <w:szCs w:val="24"/>
          <w:rtl w:val="0"/>
        </w:rPr>
        <w:t xml:space="preserve">"); </w:t>
      </w:r>
    </w:p>
    <w:bookmarkStart w:colFirst="0" w:colLast="0" w:name="bookmark=id.49x2ik5" w:id="29"/>
    <w:bookmarkEnd w:id="29"/>
    <w:p w:rsidR="00000000" w:rsidDel="00000000" w:rsidP="00000000" w:rsidRDefault="00000000" w:rsidRPr="00000000" w14:paraId="0000006D">
      <w:pPr>
        <w:keepNext w:val="1"/>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843" w:hanging="720"/>
        <w:rPr>
          <w:rFonts w:ascii="Arial" w:cs="Arial" w:eastAsia="Arial" w:hAnsi="Arial"/>
          <w:color w:val="000000"/>
          <w:sz w:val="24"/>
          <w:szCs w:val="24"/>
        </w:rPr>
      </w:pPr>
      <w:bookmarkStart w:colFirst="0" w:colLast="0" w:name="_heading=h.2p2csry" w:id="30"/>
      <w:bookmarkEnd w:id="30"/>
      <w:r w:rsidDel="00000000" w:rsidR="00000000" w:rsidRPr="00000000">
        <w:rPr>
          <w:rFonts w:ascii="Arial" w:cs="Arial" w:eastAsia="Arial" w:hAnsi="Arial"/>
          <w:color w:val="000000"/>
          <w:sz w:val="24"/>
          <w:szCs w:val="24"/>
          <w:rtl w:val="0"/>
        </w:rPr>
        <w:t xml:space="preserve">which, if any, of:</w:t>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Exclusive Assets that are not Transferable Assets; and </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Non-Exclusive Assets,</w:t>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pos="2127"/>
        </w:tabs>
        <w:spacing w:after="120" w:before="120" w:line="240" w:lineRule="auto"/>
        <w:ind w:left="165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and/or the Replacement Supplier requires the continued use of; and</w:t>
      </w:r>
    </w:p>
    <w:p w:rsidR="00000000" w:rsidDel="00000000" w:rsidP="00000000" w:rsidRDefault="00000000" w:rsidRPr="00000000" w14:paraId="0000007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843" w:hanging="720"/>
        <w:rPr>
          <w:rFonts w:ascii="Arial" w:cs="Arial" w:eastAsia="Arial" w:hAnsi="Arial"/>
          <w:color w:val="000000"/>
          <w:sz w:val="24"/>
          <w:szCs w:val="24"/>
        </w:rPr>
      </w:pPr>
      <w:bookmarkStart w:colFirst="0" w:colLast="0" w:name="_heading=h.147n2zr" w:id="31"/>
      <w:bookmarkEnd w:id="31"/>
      <w:r w:rsidDel="00000000" w:rsidR="00000000" w:rsidRPr="00000000">
        <w:rPr>
          <w:rFonts w:ascii="Arial" w:cs="Arial" w:eastAsia="Arial" w:hAnsi="Arial"/>
          <w:color w:val="000000"/>
          <w:sz w:val="24"/>
          <w:szCs w:val="24"/>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color w:val="000000"/>
          <w:sz w:val="24"/>
          <w:szCs w:val="24"/>
          <w:rtl w:val="0"/>
        </w:rPr>
        <w:t xml:space="preserve">"Transferring Contracts"</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in</w:t>
      </w:r>
      <w:r w:rsidDel="00000000" w:rsidR="00000000" w:rsidRPr="00000000">
        <w:rPr>
          <w:rFonts w:ascii="Arial" w:cs="Arial" w:eastAsia="Arial" w:hAnsi="Arial"/>
          <w:color w:val="000000"/>
          <w:sz w:val="24"/>
          <w:szCs w:val="24"/>
          <w:rtl w:val="0"/>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2">
      <w:pPr>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bookmarkStart w:colFirst="0" w:colLast="0" w:name="_heading=h.3o7alnk" w:id="32"/>
      <w:bookmarkEnd w:id="32"/>
      <w:r w:rsidDel="00000000" w:rsidR="00000000" w:rsidRPr="00000000">
        <w:rPr>
          <w:rFonts w:ascii="Arial" w:cs="Arial" w:eastAsia="Arial" w:hAnsi="Arial"/>
          <w:color w:val="000000"/>
          <w:sz w:val="24"/>
          <w:szCs w:val="24"/>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3">
      <w:pPr>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4">
      <w:pPr>
        <w:keepNext w:val="1"/>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bookmarkStart w:colFirst="0" w:colLast="0" w:name="_heading=h.23ckvvd" w:id="33"/>
      <w:bookmarkEnd w:id="33"/>
      <w:r w:rsidDel="00000000" w:rsidR="00000000" w:rsidRPr="00000000">
        <w:rPr>
          <w:rFonts w:ascii="Arial" w:cs="Arial" w:eastAsia="Arial" w:hAnsi="Arial"/>
          <w:color w:val="000000"/>
          <w:sz w:val="24"/>
          <w:szCs w:val="24"/>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843"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843"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bookmarkStart w:colFirst="0" w:colLast="0" w:name="_heading=h.ihv636" w:id="34"/>
      <w:bookmarkEnd w:id="34"/>
      <w:r w:rsidDel="00000000" w:rsidR="00000000" w:rsidRPr="00000000">
        <w:rPr>
          <w:rFonts w:ascii="Arial" w:cs="Arial" w:eastAsia="Arial" w:hAnsi="Arial"/>
          <w:color w:val="000000"/>
          <w:sz w:val="24"/>
          <w:szCs w:val="24"/>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8">
      <w:pPr>
        <w:keepNext w:val="1"/>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bookmarkStart w:colFirst="0" w:colLast="0" w:name="_heading=h.32hioqz" w:id="35"/>
      <w:bookmarkEnd w:id="35"/>
      <w:r w:rsidDel="00000000" w:rsidR="00000000" w:rsidRPr="00000000">
        <w:rPr>
          <w:rFonts w:ascii="Arial" w:cs="Arial" w:eastAsia="Arial" w:hAnsi="Arial"/>
          <w:color w:val="000000"/>
          <w:sz w:val="24"/>
          <w:szCs w:val="24"/>
          <w:rtl w:val="0"/>
        </w:rPr>
        <w:t xml:space="preserve">The Buyer shall:</w:t>
      </w:r>
    </w:p>
    <w:p w:rsidR="00000000" w:rsidDel="00000000" w:rsidP="00000000" w:rsidRDefault="00000000" w:rsidRPr="00000000" w14:paraId="0000007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843"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accept assignments from the Supplier or join with the Supplier in procuring a novation of each Transferring Contract; and</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843"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C">
      <w:pPr>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bookmarkStart w:colFirst="0" w:colLast="0" w:name="_heading=h.1hmsyys" w:id="36"/>
      <w:bookmarkEnd w:id="36"/>
      <w:r w:rsidDel="00000000" w:rsidR="00000000" w:rsidRPr="00000000">
        <w:rPr>
          <w:rFonts w:ascii="Arial" w:cs="Arial" w:eastAsia="Arial" w:hAnsi="Arial"/>
          <w:color w:val="000000"/>
          <w:sz w:val="24"/>
          <w:szCs w:val="24"/>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D">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bookmarkStart w:colFirst="0" w:colLast="0" w:name="_heading=h.41mghml" w:id="37"/>
      <w:bookmarkEnd w:id="37"/>
      <w:r w:rsidDel="00000000" w:rsidR="00000000" w:rsidRPr="00000000">
        <w:rPr>
          <w:rFonts w:ascii="Arial" w:cs="Arial" w:eastAsia="Arial" w:hAnsi="Arial"/>
          <w:b w:val="1"/>
          <w:smallCaps w:val="1"/>
          <w:color w:val="000000"/>
          <w:sz w:val="24"/>
          <w:szCs w:val="24"/>
          <w:rtl w:val="0"/>
        </w:rPr>
        <w:t xml:space="preserve">N</w:t>
      </w:r>
      <w:r w:rsidDel="00000000" w:rsidR="00000000" w:rsidRPr="00000000">
        <w:rPr>
          <w:rFonts w:ascii="Arial Bold" w:cs="Arial Bold" w:eastAsia="Arial Bold" w:hAnsi="Arial Bold"/>
          <w:b w:val="1"/>
          <w:color w:val="000000"/>
          <w:sz w:val="24"/>
          <w:szCs w:val="24"/>
          <w:rtl w:val="0"/>
        </w:rPr>
        <w:t xml:space="preserve">o charges</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7E">
      <w:pPr>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7F">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ividing the bills </w:t>
      </w:r>
      <w:r w:rsidDel="00000000" w:rsidR="00000000" w:rsidRPr="00000000">
        <w:rPr>
          <w:rtl w:val="0"/>
        </w:rPr>
      </w:r>
    </w:p>
    <w:p w:rsidR="00000000" w:rsidDel="00000000" w:rsidP="00000000" w:rsidRDefault="00000000" w:rsidRPr="00000000" w14:paraId="00000080">
      <w:pPr>
        <w:keepNext w:val="1"/>
        <w:numPr>
          <w:ilvl w:val="1"/>
          <w:numId w:val="1"/>
        </w:numPr>
        <w:pBdr>
          <w:top w:space="0" w:sz="0" w:val="nil"/>
          <w:left w:space="0" w:sz="0" w:val="nil"/>
          <w:bottom w:space="0" w:sz="0" w:val="nil"/>
          <w:right w:space="0" w:sz="0" w:val="nil"/>
          <w:between w:space="0" w:sz="0" w:val="nil"/>
        </w:pBdr>
        <w:spacing w:after="120" w:before="120" w:line="240" w:lineRule="auto"/>
        <w:ind w:left="1070" w:hanging="360"/>
        <w:rPr>
          <w:rFonts w:ascii="Arial" w:cs="Arial" w:eastAsia="Arial" w:hAnsi="Arial"/>
          <w:color w:val="000000"/>
          <w:sz w:val="24"/>
          <w:szCs w:val="24"/>
        </w:rPr>
      </w:pPr>
      <w:bookmarkStart w:colFirst="0" w:colLast="0" w:name="_heading=h.2grqrue" w:id="38"/>
      <w:bookmarkEnd w:id="38"/>
      <w:r w:rsidDel="00000000" w:rsidR="00000000" w:rsidRPr="00000000">
        <w:rPr>
          <w:rFonts w:ascii="Arial" w:cs="Arial" w:eastAsia="Arial" w:hAnsi="Arial"/>
          <w:color w:val="000000"/>
          <w:sz w:val="24"/>
          <w:szCs w:val="24"/>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shall be annualised and divided by 365 to reach a daily rate;</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or entitled to (as the case may be) the rest of the invoice.</w:t>
      </w:r>
    </w:p>
    <w:p w:rsidR="00000000" w:rsidDel="00000000" w:rsidP="00000000" w:rsidRDefault="00000000" w:rsidRPr="00000000" w14:paraId="0000008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r w:rsidDel="00000000" w:rsidR="00000000" w:rsidRPr="00000000">
      <w:rPr>
        <w:rFonts w:ascii="Arial" w:cs="Arial" w:eastAsia="Arial" w:hAnsi="Arial"/>
        <w:sz w:val="20"/>
        <w:szCs w:val="20"/>
        <w:rtl w:val="0"/>
      </w:rPr>
      <w:t xml:space="preserve">6186 – Fuel Cards VI</w:t>
    </w: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w:t>
    </w:r>
    <w:bookmarkStart w:colFirst="0" w:colLast="0" w:name="bookmark=id.vx1227" w:id="39"/>
    <w:bookmarkEnd w:id="39"/>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E">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10 (Exit Management)</w:t>
    </w: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2021</w:t>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pos="4513"/>
        <w:tab w:val="right" w:pos="9026"/>
        <w:tab w:val="left" w:pos="3559"/>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8.99999999999994"/>
      </w:pPr>
      <w:rPr>
        <w:smallCaps w:val="0"/>
        <w:strike w:val="0"/>
        <w:color w:val="000000"/>
        <w:u w:val="none"/>
        <w:vertAlign w:val="baseline"/>
      </w:rPr>
    </w:lvl>
    <w:lvl w:ilvl="1">
      <w:start w:val="1"/>
      <w:numFmt w:val="decimal"/>
      <w:lvlText w:val="%1.%2"/>
      <w:lvlJc w:val="left"/>
      <w:pPr>
        <w:ind w:left="1070"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tabs>
        <w:tab w:val="num" w:pos="720"/>
      </w:tabs>
      <w:spacing w:after="240" w:line="240" w:lineRule="auto"/>
      <w:ind w:left="720" w:hanging="720"/>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tabs>
        <w:tab w:val="num" w:pos="1440"/>
      </w:tabs>
      <w:spacing w:after="210" w:line="264" w:lineRule="auto"/>
      <w:ind w:left="1440" w:hanging="720"/>
      <w:jc w:val="both"/>
    </w:pPr>
    <w:rPr>
      <w:rFonts w:ascii="Times New Roman" w:cs="Times New Roman" w:eastAsia="Times New Roman" w:hAnsi="Times New Roman"/>
      <w:sz w:val="23"/>
      <w:szCs w:val="20"/>
    </w:rPr>
  </w:style>
  <w:style w:type="paragraph" w:styleId="Schedule3" w:customStyle="1">
    <w:name w:val="Schedule 3"/>
    <w:basedOn w:val="Normal"/>
    <w:pPr>
      <w:tabs>
        <w:tab w:val="num" w:pos="2160"/>
      </w:tabs>
      <w:spacing w:after="210" w:line="264" w:lineRule="auto"/>
      <w:ind w:left="2160" w:hanging="720"/>
      <w:jc w:val="both"/>
    </w:pPr>
    <w:rPr>
      <w:rFonts w:ascii="Times New Roman" w:cs="Times New Roman" w:eastAsia="Times New Roman" w:hAnsi="Times New Roman"/>
      <w:sz w:val="23"/>
      <w:szCs w:val="20"/>
    </w:rPr>
  </w:style>
  <w:style w:type="paragraph" w:styleId="Schedule4" w:customStyle="1">
    <w:name w:val="Schedule 4"/>
    <w:basedOn w:val="Normal"/>
    <w:pPr>
      <w:tabs>
        <w:tab w:val="num" w:pos="2880"/>
      </w:tabs>
      <w:spacing w:after="210" w:line="264" w:lineRule="auto"/>
      <w:ind w:left="2880" w:hanging="720"/>
      <w:jc w:val="both"/>
    </w:pPr>
    <w:rPr>
      <w:rFonts w:ascii="Times New Roman" w:cs="Times New Roman" w:eastAsia="Times New Roman" w:hAnsi="Times New Roman"/>
      <w:sz w:val="23"/>
      <w:szCs w:val="20"/>
    </w:rPr>
  </w:style>
  <w:style w:type="paragraph" w:styleId="Schedule5" w:customStyle="1">
    <w:name w:val="Schedule 5"/>
    <w:basedOn w:val="Normal"/>
    <w:next w:val="Normal"/>
    <w:pPr>
      <w:tabs>
        <w:tab w:val="num" w:pos="3600"/>
      </w:tabs>
      <w:spacing w:after="210" w:line="264" w:lineRule="auto"/>
      <w:ind w:left="3600" w:hanging="720"/>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tabs>
        <w:tab w:val="num" w:pos="4320"/>
      </w:tabs>
      <w:spacing w:after="360" w:line="312" w:lineRule="auto"/>
      <w:ind w:left="4320" w:hanging="720"/>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tabs>
        <w:tab w:val="num" w:pos="5040"/>
      </w:tabs>
      <w:spacing w:after="60" w:before="120" w:line="264" w:lineRule="auto"/>
      <w:ind w:left="5040" w:hanging="720"/>
      <w:jc w:val="both"/>
    </w:pPr>
    <w:rPr>
      <w:rFonts w:ascii="Times New Roman Bold" w:cs="Times New Roman" w:eastAsia="Times New Roman" w:hAnsi="Times New Roman Bold"/>
      <w:b w:val="1"/>
      <w:sz w:val="23"/>
      <w:szCs w:val="20"/>
    </w:rPr>
  </w:style>
  <w:style w:type="paragraph" w:styleId="Schedule8" w:customStyle="1">
    <w:name w:val="Schedule 8"/>
    <w:basedOn w:val="Normal"/>
    <w:pPr>
      <w:tabs>
        <w:tab w:val="num" w:pos="5760"/>
      </w:tabs>
      <w:spacing w:after="210" w:line="264" w:lineRule="auto"/>
      <w:ind w:left="5760" w:hanging="720"/>
      <w:jc w:val="both"/>
    </w:pPr>
    <w:rPr>
      <w:rFonts w:ascii="Times New Roman" w:cs="Times New Roman" w:eastAsia="Times New Roman" w:hAnsi="Times New Roman"/>
      <w:sz w:val="23"/>
      <w:szCs w:val="20"/>
    </w:rPr>
  </w:style>
  <w:style w:type="paragraph" w:styleId="Schedule9" w:customStyle="1">
    <w:name w:val="Schedule 9"/>
    <w:basedOn w:val="Normal"/>
    <w:next w:val="Normal"/>
    <w:pPr>
      <w:tabs>
        <w:tab w:val="num" w:pos="6480"/>
      </w:tabs>
      <w:spacing w:after="210" w:line="264" w:lineRule="auto"/>
      <w:ind w:left="6480" w:hanging="720"/>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tabs>
        <w:tab w:val="num" w:pos="720"/>
      </w:tabs>
      <w:spacing w:after="210" w:line="264" w:lineRule="auto"/>
      <w:ind w:left="720" w:hanging="720"/>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cs="Times New Roman"/>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Hx3X6/3GZMDHE8/x9F2w/hYLJw==">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2021-07-21T09:36:00Z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